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F141" w14:textId="71D275FD" w:rsidR="00202E75" w:rsidRPr="00202E75" w:rsidRDefault="00364A6B" w:rsidP="23EBEC0A">
      <w:pPr>
        <w:shd w:val="clear" w:color="auto" w:fill="FFFFFF" w:themeFill="background1"/>
        <w:spacing w:before="300" w:after="240" w:line="240" w:lineRule="auto"/>
        <w:textAlignment w:val="baseline"/>
        <w:outlineLvl w:val="2"/>
        <w:rPr>
          <w:rFonts w:ascii="Verdana" w:eastAsia="Verdana" w:hAnsi="Verdana" w:cs="Verdana"/>
          <w:color w:val="005580"/>
          <w:sz w:val="20"/>
          <w:szCs w:val="20"/>
          <w:lang w:eastAsia="en-GB"/>
        </w:rPr>
      </w:pPr>
      <w:proofErr w:type="spellStart"/>
      <w:r w:rsidRPr="23EBEC0A">
        <w:rPr>
          <w:rFonts w:ascii="Verdana" w:eastAsia="Verdana" w:hAnsi="Verdana" w:cs="Verdana"/>
          <w:color w:val="005580"/>
          <w:sz w:val="20"/>
          <w:szCs w:val="20"/>
          <w:lang w:eastAsia="en-GB"/>
        </w:rPr>
        <w:t>DTb</w:t>
      </w:r>
      <w:proofErr w:type="spellEnd"/>
      <w:r w:rsidRPr="23EBEC0A">
        <w:rPr>
          <w:rFonts w:ascii="Verdana" w:eastAsia="Verdana" w:hAnsi="Verdana" w:cs="Verdana"/>
          <w:color w:val="005580"/>
          <w:sz w:val="20"/>
          <w:szCs w:val="20"/>
          <w:lang w:eastAsia="en-GB"/>
        </w:rPr>
        <w:t xml:space="preserve"> theme group</w:t>
      </w:r>
      <w:r w:rsidR="00202E75" w:rsidRPr="23EBEC0A">
        <w:rPr>
          <w:rFonts w:ascii="Verdana" w:eastAsia="Verdana" w:hAnsi="Verdana" w:cs="Verdana"/>
          <w:color w:val="005580"/>
          <w:sz w:val="20"/>
          <w:szCs w:val="20"/>
          <w:lang w:eastAsia="en-GB"/>
        </w:rPr>
        <w:t xml:space="preserve"> </w:t>
      </w:r>
      <w:r w:rsidR="00632D6D" w:rsidRPr="23EBEC0A">
        <w:rPr>
          <w:rFonts w:ascii="Verdana" w:eastAsia="Verdana" w:hAnsi="Verdana" w:cs="Verdana"/>
          <w:color w:val="005580"/>
          <w:sz w:val="20"/>
          <w:szCs w:val="20"/>
          <w:lang w:eastAsia="en-GB"/>
        </w:rPr>
        <w:t>n</w:t>
      </w:r>
      <w:r w:rsidR="00202E75" w:rsidRPr="23EBEC0A">
        <w:rPr>
          <w:rFonts w:ascii="Verdana" w:eastAsia="Verdana" w:hAnsi="Verdana" w:cs="Verdana"/>
          <w:color w:val="005580"/>
          <w:sz w:val="20"/>
          <w:szCs w:val="20"/>
          <w:lang w:eastAsia="en-GB"/>
        </w:rPr>
        <w:t>ame</w:t>
      </w:r>
      <w:r w:rsidR="00F97772" w:rsidRPr="23EBEC0A">
        <w:rPr>
          <w:rFonts w:ascii="Verdana" w:eastAsia="Verdana" w:hAnsi="Verdana" w:cs="Verdana"/>
          <w:color w:val="005580"/>
          <w:sz w:val="20"/>
          <w:szCs w:val="20"/>
          <w:lang w:eastAsia="en-GB"/>
        </w:rPr>
        <w:t xml:space="preserve"> - OVERSIGHT</w:t>
      </w:r>
    </w:p>
    <w:p w14:paraId="3DC63954" w14:textId="77777777" w:rsidR="00202E75" w:rsidRPr="00202E75" w:rsidRDefault="00202E75" w:rsidP="23EBEC0A">
      <w:pPr>
        <w:shd w:val="clear" w:color="auto" w:fill="FFFFFF" w:themeFill="background1"/>
        <w:spacing w:before="300" w:after="240" w:line="240" w:lineRule="auto"/>
        <w:textAlignment w:val="baseline"/>
        <w:outlineLvl w:val="2"/>
        <w:rPr>
          <w:rFonts w:ascii="Verdana" w:eastAsia="Verdana" w:hAnsi="Verdana" w:cs="Verdana"/>
          <w:color w:val="005580"/>
          <w:sz w:val="20"/>
          <w:szCs w:val="20"/>
          <w:lang w:eastAsia="en-GB"/>
        </w:rPr>
      </w:pPr>
      <w:r w:rsidRPr="23EBEC0A">
        <w:rPr>
          <w:rFonts w:ascii="Verdana" w:eastAsia="Verdana" w:hAnsi="Verdana" w:cs="Verdana"/>
          <w:color w:val="005580"/>
          <w:sz w:val="20"/>
          <w:szCs w:val="20"/>
          <w:lang w:eastAsia="en-GB"/>
        </w:rPr>
        <w:t>Type</w:t>
      </w:r>
    </w:p>
    <w:p w14:paraId="789223B4" w14:textId="6E7D5374" w:rsidR="00202E75" w:rsidRPr="00202E75" w:rsidRDefault="00A65A6B" w:rsidP="23EBEC0A">
      <w:p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Standing </w:t>
      </w:r>
      <w:r w:rsidR="004853D6"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advisory </w:t>
      </w:r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group</w:t>
      </w:r>
    </w:p>
    <w:p w14:paraId="1970A894" w14:textId="77777777" w:rsidR="00202E75" w:rsidRPr="00202E75" w:rsidRDefault="00202E75" w:rsidP="23EBEC0A">
      <w:pPr>
        <w:shd w:val="clear" w:color="auto" w:fill="FFFFFF" w:themeFill="background1"/>
        <w:spacing w:before="300" w:after="240" w:line="240" w:lineRule="auto"/>
        <w:textAlignment w:val="baseline"/>
        <w:outlineLvl w:val="2"/>
        <w:rPr>
          <w:rFonts w:ascii="Verdana" w:eastAsia="Verdana" w:hAnsi="Verdana" w:cs="Verdana"/>
          <w:color w:val="005580"/>
          <w:sz w:val="20"/>
          <w:szCs w:val="20"/>
          <w:lang w:eastAsia="en-GB"/>
        </w:rPr>
      </w:pPr>
      <w:r w:rsidRPr="23EBEC0A">
        <w:rPr>
          <w:rFonts w:ascii="Verdana" w:eastAsia="Verdana" w:hAnsi="Verdana" w:cs="Verdana"/>
          <w:color w:val="005580"/>
          <w:sz w:val="20"/>
          <w:szCs w:val="20"/>
          <w:lang w:eastAsia="en-GB"/>
        </w:rPr>
        <w:t>Purpose</w:t>
      </w:r>
    </w:p>
    <w:p w14:paraId="11FFF6BB" w14:textId="424865F2" w:rsidR="00202E75" w:rsidRPr="00202E75" w:rsidRDefault="004853D6" w:rsidP="23EBEC0A">
      <w:p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The purpose of the </w:t>
      </w:r>
      <w:proofErr w:type="spellStart"/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DTb</w:t>
      </w:r>
      <w:proofErr w:type="spellEnd"/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Oversight group is to focus on governance and oversight </w:t>
      </w:r>
      <w:r w:rsidR="00EF7F46"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relating to</w:t>
      </w:r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both the </w:t>
      </w:r>
      <w:proofErr w:type="spellStart"/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DTb</w:t>
      </w:r>
      <w:proofErr w:type="spellEnd"/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and the PLC. </w:t>
      </w:r>
    </w:p>
    <w:p w14:paraId="23A929EB" w14:textId="77777777" w:rsidR="00202E75" w:rsidRPr="00202E75" w:rsidRDefault="00202E75" w:rsidP="23EBEC0A">
      <w:pPr>
        <w:shd w:val="clear" w:color="auto" w:fill="FFFFFF" w:themeFill="background1"/>
        <w:spacing w:before="300" w:after="240" w:line="240" w:lineRule="auto"/>
        <w:textAlignment w:val="baseline"/>
        <w:outlineLvl w:val="2"/>
        <w:rPr>
          <w:rFonts w:ascii="Verdana" w:eastAsia="Verdana" w:hAnsi="Verdana" w:cs="Verdana"/>
          <w:color w:val="005580"/>
          <w:sz w:val="20"/>
          <w:szCs w:val="20"/>
          <w:lang w:eastAsia="en-GB"/>
        </w:rPr>
      </w:pPr>
      <w:r w:rsidRPr="23EBEC0A">
        <w:rPr>
          <w:rFonts w:ascii="Verdana" w:eastAsia="Verdana" w:hAnsi="Verdana" w:cs="Verdana"/>
          <w:color w:val="005580"/>
          <w:sz w:val="20"/>
          <w:szCs w:val="20"/>
          <w:lang w:eastAsia="en-GB"/>
        </w:rPr>
        <w:t>Scope</w:t>
      </w:r>
    </w:p>
    <w:p w14:paraId="5AD1E9AF" w14:textId="1DD72A59" w:rsidR="00AE2E42" w:rsidRPr="002C24D0" w:rsidRDefault="00EF7F46" w:rsidP="23EBEC0A">
      <w:p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Propos</w:t>
      </w:r>
      <w:r w:rsidR="00756AB8"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ing</w:t>
      </w:r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</w:t>
      </w:r>
      <w:proofErr w:type="spellStart"/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DTb</w:t>
      </w:r>
      <w:proofErr w:type="spellEnd"/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rep</w:t>
      </w:r>
      <w:r w:rsidR="008A6611"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resentatives for m</w:t>
      </w:r>
      <w:r w:rsidR="00AE2E42"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embership of the PLC Board</w:t>
      </w:r>
    </w:p>
    <w:p w14:paraId="5438FD0C" w14:textId="74F2CAB4" w:rsidR="00293471" w:rsidRDefault="00C5173B" w:rsidP="23EBEC0A">
      <w:p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Review</w:t>
      </w:r>
      <w:r w:rsidR="00756AB8"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ing</w:t>
      </w:r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the Dons Trust Constitution to ensure </w:t>
      </w:r>
      <w:r w:rsidR="00756AB8"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it is </w:t>
      </w:r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relevant, up to date and compliant with changes in legislation and best practise.</w:t>
      </w:r>
      <w:r w:rsidR="00293471"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Also the </w:t>
      </w:r>
      <w:r w:rsidR="00756AB8"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same for the </w:t>
      </w:r>
      <w:r w:rsidR="00293471"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PLC Memorandum and Articles of </w:t>
      </w:r>
      <w:proofErr w:type="gramStart"/>
      <w:r w:rsidR="00293471"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Association  (</w:t>
      </w:r>
      <w:proofErr w:type="gramEnd"/>
      <w:r w:rsidR="00293471"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including all subsidiaries)</w:t>
      </w:r>
    </w:p>
    <w:p w14:paraId="2DAF6402" w14:textId="645920B7" w:rsidR="00931C62" w:rsidRPr="002C24D0" w:rsidRDefault="00756AB8" w:rsidP="23EBEC0A">
      <w:p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Construct a</w:t>
      </w:r>
      <w:r w:rsidR="00F275D4"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nd maintain a</w:t>
      </w:r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Memorandum of Understanding between the </w:t>
      </w:r>
      <w:proofErr w:type="spellStart"/>
      <w:r w:rsidR="00F275D4"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DTb</w:t>
      </w:r>
      <w:proofErr w:type="spellEnd"/>
      <w:r w:rsidR="00F275D4"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and PLC.</w:t>
      </w:r>
    </w:p>
    <w:p w14:paraId="59C3CF64" w14:textId="59836BD2" w:rsidR="00A65A6B" w:rsidRDefault="00C403D6" w:rsidP="23EBEC0A">
      <w:p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Review and advise </w:t>
      </w:r>
      <w:proofErr w:type="spellStart"/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DTb</w:t>
      </w:r>
      <w:proofErr w:type="spellEnd"/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</w:t>
      </w:r>
      <w:r w:rsidR="004C29C3"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on governance of </w:t>
      </w:r>
      <w:r w:rsidR="00A65A6B"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budgets and other major investment decisions (for full board signoff)</w:t>
      </w:r>
    </w:p>
    <w:p w14:paraId="1807C41F" w14:textId="308072E6" w:rsidR="002C24D0" w:rsidRPr="00485C09" w:rsidRDefault="00D92297" w:rsidP="23EBEC0A">
      <w:p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sz w:val="20"/>
          <w:szCs w:val="20"/>
        </w:rPr>
      </w:pPr>
      <w:r w:rsidRPr="23EBEC0A">
        <w:rPr>
          <w:rFonts w:ascii="Verdana" w:eastAsia="Verdana" w:hAnsi="Verdana" w:cs="Verdana"/>
          <w:sz w:val="20"/>
          <w:szCs w:val="20"/>
        </w:rPr>
        <w:t xml:space="preserve">Review of the processes </w:t>
      </w:r>
      <w:r w:rsidR="00485C09" w:rsidRPr="23EBEC0A">
        <w:rPr>
          <w:rFonts w:ascii="Verdana" w:eastAsia="Verdana" w:hAnsi="Verdana" w:cs="Verdana"/>
          <w:sz w:val="20"/>
          <w:szCs w:val="20"/>
        </w:rPr>
        <w:t xml:space="preserve">for </w:t>
      </w:r>
      <w:r w:rsidR="002C24D0" w:rsidRPr="23EBEC0A">
        <w:rPr>
          <w:rFonts w:ascii="Verdana" w:eastAsia="Verdana" w:hAnsi="Verdana" w:cs="Verdana"/>
          <w:sz w:val="20"/>
          <w:szCs w:val="20"/>
        </w:rPr>
        <w:t>the Dons Trust and Club financial reporting and the integrity of both organisations’ financial and narrative statements</w:t>
      </w:r>
    </w:p>
    <w:p w14:paraId="587FD52C" w14:textId="1B828DFB" w:rsidR="00F616D2" w:rsidRDefault="00F616D2" w:rsidP="23EBEC0A">
      <w:p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color w:val="444444"/>
          <w:sz w:val="20"/>
          <w:szCs w:val="20"/>
        </w:rPr>
      </w:pPr>
      <w:r w:rsidRPr="23EBEC0A">
        <w:rPr>
          <w:rFonts w:ascii="Verdana" w:eastAsia="Verdana" w:hAnsi="Verdana" w:cs="Verdana"/>
          <w:color w:val="444444"/>
          <w:sz w:val="20"/>
          <w:szCs w:val="20"/>
        </w:rPr>
        <w:t>Overseeing the DT Treasurer</w:t>
      </w:r>
    </w:p>
    <w:p w14:paraId="0BCE4A89" w14:textId="2C0BC9B0" w:rsidR="002C24D0" w:rsidRPr="00485C09" w:rsidRDefault="00D92297" w:rsidP="23EBEC0A">
      <w:p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sz w:val="20"/>
          <w:szCs w:val="20"/>
        </w:rPr>
      </w:pPr>
      <w:r w:rsidRPr="23EBEC0A">
        <w:rPr>
          <w:rFonts w:ascii="Verdana" w:eastAsia="Verdana" w:hAnsi="Verdana" w:cs="Verdana"/>
          <w:color w:val="444444"/>
          <w:sz w:val="20"/>
          <w:szCs w:val="20"/>
        </w:rPr>
        <w:t>Review of the processes for</w:t>
      </w:r>
      <w:r w:rsidR="002C24D0" w:rsidRPr="23EBEC0A">
        <w:rPr>
          <w:rFonts w:ascii="Verdana" w:eastAsia="Verdana" w:hAnsi="Verdana" w:cs="Verdana"/>
          <w:color w:val="444444"/>
          <w:sz w:val="20"/>
          <w:szCs w:val="20"/>
        </w:rPr>
        <w:t xml:space="preserve"> the Dons </w:t>
      </w:r>
      <w:r w:rsidR="002C24D0" w:rsidRPr="23EBEC0A">
        <w:rPr>
          <w:rFonts w:ascii="Verdana" w:eastAsia="Verdana" w:hAnsi="Verdana" w:cs="Verdana"/>
          <w:sz w:val="20"/>
          <w:szCs w:val="20"/>
        </w:rPr>
        <w:t>Trust and Club’s internal control and risk management systems and internal audit process</w:t>
      </w:r>
    </w:p>
    <w:p w14:paraId="70D22A04" w14:textId="3E0EFC30" w:rsidR="002C24D0" w:rsidRPr="002C24D0" w:rsidRDefault="00D32540" w:rsidP="23EBEC0A">
      <w:p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color w:val="444444"/>
          <w:sz w:val="20"/>
          <w:szCs w:val="20"/>
        </w:rPr>
      </w:pPr>
      <w:r w:rsidRPr="23EBEC0A">
        <w:rPr>
          <w:rFonts w:ascii="Verdana" w:eastAsia="Verdana" w:hAnsi="Verdana" w:cs="Verdana"/>
          <w:color w:val="444444"/>
          <w:sz w:val="20"/>
          <w:szCs w:val="20"/>
        </w:rPr>
        <w:t>O</w:t>
      </w:r>
      <w:r w:rsidR="002C24D0" w:rsidRPr="23EBEC0A">
        <w:rPr>
          <w:rFonts w:ascii="Verdana" w:eastAsia="Verdana" w:hAnsi="Verdana" w:cs="Verdana"/>
          <w:color w:val="444444"/>
          <w:sz w:val="20"/>
          <w:szCs w:val="20"/>
        </w:rPr>
        <w:t>versee</w:t>
      </w:r>
      <w:r w:rsidRPr="23EBEC0A">
        <w:rPr>
          <w:rFonts w:ascii="Verdana" w:eastAsia="Verdana" w:hAnsi="Verdana" w:cs="Verdana"/>
          <w:color w:val="444444"/>
          <w:sz w:val="20"/>
          <w:szCs w:val="20"/>
        </w:rPr>
        <w:t>ing</w:t>
      </w:r>
      <w:r w:rsidR="002C24D0" w:rsidRPr="23EBEC0A">
        <w:rPr>
          <w:rFonts w:ascii="Verdana" w:eastAsia="Verdana" w:hAnsi="Verdana" w:cs="Verdana"/>
          <w:color w:val="444444"/>
          <w:sz w:val="20"/>
          <w:szCs w:val="20"/>
        </w:rPr>
        <w:t xml:space="preserve"> and monitor</w:t>
      </w:r>
      <w:r w:rsidRPr="23EBEC0A">
        <w:rPr>
          <w:rFonts w:ascii="Verdana" w:eastAsia="Verdana" w:hAnsi="Verdana" w:cs="Verdana"/>
          <w:color w:val="444444"/>
          <w:sz w:val="20"/>
          <w:szCs w:val="20"/>
        </w:rPr>
        <w:t>ing</w:t>
      </w:r>
      <w:r w:rsidR="002C24D0" w:rsidRPr="23EBEC0A">
        <w:rPr>
          <w:rFonts w:ascii="Verdana" w:eastAsia="Verdana" w:hAnsi="Verdana" w:cs="Verdana"/>
          <w:color w:val="444444"/>
          <w:sz w:val="20"/>
          <w:szCs w:val="20"/>
        </w:rPr>
        <w:t xml:space="preserve"> the audit of the </w:t>
      </w:r>
      <w:r w:rsidR="002C24D0" w:rsidRPr="23EBEC0A">
        <w:rPr>
          <w:rFonts w:ascii="Verdana" w:eastAsia="Verdana" w:hAnsi="Verdana" w:cs="Verdana"/>
          <w:sz w:val="20"/>
          <w:szCs w:val="20"/>
        </w:rPr>
        <w:t xml:space="preserve">Dons Trust and Club’s </w:t>
      </w:r>
      <w:r w:rsidR="002C24D0" w:rsidRPr="23EBEC0A">
        <w:rPr>
          <w:rFonts w:ascii="Verdana" w:eastAsia="Verdana" w:hAnsi="Verdana" w:cs="Verdana"/>
          <w:color w:val="444444"/>
          <w:sz w:val="20"/>
          <w:szCs w:val="20"/>
        </w:rPr>
        <w:t>financial statements and the independence of the external auditors.</w:t>
      </w:r>
    </w:p>
    <w:p w14:paraId="70ABF1DF" w14:textId="62BBBC07" w:rsidR="007246BB" w:rsidRPr="002C24D0" w:rsidRDefault="004C29C3" w:rsidP="23EBEC0A">
      <w:p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Supporting </w:t>
      </w:r>
      <w:r w:rsidR="00D55B6A"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the D</w:t>
      </w:r>
      <w:r w:rsidR="00AE2E42"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iversity and Inclusion </w:t>
      </w:r>
      <w:r w:rsidR="00D55B6A"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team as part of Community theme group</w:t>
      </w:r>
      <w:r w:rsidR="00D32540"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.</w:t>
      </w:r>
    </w:p>
    <w:p w14:paraId="16279E50" w14:textId="77777777" w:rsidR="00202E75" w:rsidRPr="00202E75" w:rsidRDefault="00202E75" w:rsidP="23EBEC0A">
      <w:pPr>
        <w:shd w:val="clear" w:color="auto" w:fill="FFFFFF" w:themeFill="background1"/>
        <w:spacing w:before="300" w:after="240" w:line="240" w:lineRule="auto"/>
        <w:textAlignment w:val="baseline"/>
        <w:outlineLvl w:val="2"/>
        <w:rPr>
          <w:rFonts w:ascii="Verdana" w:eastAsia="Verdana" w:hAnsi="Verdana" w:cs="Verdana"/>
          <w:color w:val="005580"/>
          <w:sz w:val="20"/>
          <w:szCs w:val="20"/>
          <w:lang w:eastAsia="en-GB"/>
        </w:rPr>
      </w:pPr>
      <w:r w:rsidRPr="23EBEC0A">
        <w:rPr>
          <w:rFonts w:ascii="Verdana" w:eastAsia="Verdana" w:hAnsi="Verdana" w:cs="Verdana"/>
          <w:color w:val="005580"/>
          <w:sz w:val="20"/>
          <w:szCs w:val="20"/>
          <w:lang w:eastAsia="en-GB"/>
        </w:rPr>
        <w:t>Authority</w:t>
      </w:r>
    </w:p>
    <w:p w14:paraId="08F11ABD" w14:textId="2291B618" w:rsidR="00202E75" w:rsidRPr="00202E75" w:rsidRDefault="00A65A6B" w:rsidP="23EBEC0A">
      <w:p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The Oversight group will make recommendations to the Dons Trust Board. It does not have the authority to make decisions.</w:t>
      </w:r>
    </w:p>
    <w:p w14:paraId="249B7690" w14:textId="77777777" w:rsidR="00202E75" w:rsidRPr="00202E75" w:rsidRDefault="00202E75" w:rsidP="23EBEC0A">
      <w:pPr>
        <w:shd w:val="clear" w:color="auto" w:fill="FFFFFF" w:themeFill="background1"/>
        <w:spacing w:before="300" w:after="240" w:line="240" w:lineRule="auto"/>
        <w:textAlignment w:val="baseline"/>
        <w:outlineLvl w:val="2"/>
        <w:rPr>
          <w:rFonts w:ascii="Verdana" w:eastAsia="Verdana" w:hAnsi="Verdana" w:cs="Verdana"/>
          <w:color w:val="005580"/>
          <w:sz w:val="20"/>
          <w:szCs w:val="20"/>
          <w:lang w:eastAsia="en-GB"/>
        </w:rPr>
      </w:pPr>
      <w:r w:rsidRPr="23EBEC0A">
        <w:rPr>
          <w:rFonts w:ascii="Verdana" w:eastAsia="Verdana" w:hAnsi="Verdana" w:cs="Verdana"/>
          <w:color w:val="005580"/>
          <w:sz w:val="20"/>
          <w:szCs w:val="20"/>
          <w:lang w:eastAsia="en-GB"/>
        </w:rPr>
        <w:t>Membership</w:t>
      </w:r>
    </w:p>
    <w:p w14:paraId="05EFF073" w14:textId="77777777" w:rsidR="002B1F32" w:rsidRDefault="002B1F32" w:rsidP="23EBEC0A">
      <w:pPr>
        <w:spacing w:line="252" w:lineRule="auto"/>
        <w:rPr>
          <w:rFonts w:ascii="Verdana" w:eastAsia="Verdana" w:hAnsi="Verdana" w:cs="Verdana"/>
          <w:color w:val="444444"/>
          <w:sz w:val="20"/>
          <w:szCs w:val="20"/>
        </w:rPr>
      </w:pPr>
      <w:r w:rsidRPr="23EBEC0A">
        <w:rPr>
          <w:rFonts w:ascii="Verdana" w:eastAsia="Verdana" w:hAnsi="Verdana" w:cs="Verdana"/>
          <w:color w:val="444444"/>
          <w:sz w:val="20"/>
          <w:szCs w:val="20"/>
        </w:rPr>
        <w:t>There should normally be a minimum of three members in the group, ideally four.</w:t>
      </w:r>
    </w:p>
    <w:p w14:paraId="0FEB8E0D" w14:textId="094E92B0" w:rsidR="002B1F32" w:rsidRPr="001114D9" w:rsidRDefault="002B1F32" w:rsidP="23EBEC0A">
      <w:pPr>
        <w:spacing w:line="252" w:lineRule="auto"/>
        <w:rPr>
          <w:rFonts w:ascii="Verdana" w:eastAsia="Verdana" w:hAnsi="Verdana" w:cs="Verdana"/>
          <w:color w:val="444444"/>
          <w:sz w:val="20"/>
          <w:szCs w:val="20"/>
        </w:rPr>
      </w:pPr>
      <w:r w:rsidRPr="23EBEC0A">
        <w:rPr>
          <w:rFonts w:ascii="Verdana" w:eastAsia="Verdana" w:hAnsi="Verdana" w:cs="Verdana"/>
          <w:color w:val="444444"/>
          <w:sz w:val="20"/>
          <w:szCs w:val="20"/>
        </w:rPr>
        <w:t xml:space="preserve">The Chair of the </w:t>
      </w:r>
      <w:proofErr w:type="spellStart"/>
      <w:r w:rsidRPr="23EBEC0A">
        <w:rPr>
          <w:rFonts w:ascii="Verdana" w:eastAsia="Verdana" w:hAnsi="Verdana" w:cs="Verdana"/>
          <w:color w:val="444444"/>
          <w:sz w:val="20"/>
          <w:szCs w:val="20"/>
        </w:rPr>
        <w:t>DTb</w:t>
      </w:r>
      <w:proofErr w:type="spellEnd"/>
      <w:r w:rsidRPr="23EBEC0A">
        <w:rPr>
          <w:rFonts w:ascii="Verdana" w:eastAsia="Verdana" w:hAnsi="Verdana" w:cs="Verdana"/>
          <w:color w:val="444444"/>
          <w:sz w:val="20"/>
          <w:szCs w:val="20"/>
        </w:rPr>
        <w:t xml:space="preserve"> should automatically be a member. If the </w:t>
      </w:r>
      <w:proofErr w:type="spellStart"/>
      <w:r w:rsidRPr="23EBEC0A">
        <w:rPr>
          <w:rFonts w:ascii="Verdana" w:eastAsia="Verdana" w:hAnsi="Verdana" w:cs="Verdana"/>
          <w:color w:val="444444"/>
          <w:sz w:val="20"/>
          <w:szCs w:val="20"/>
        </w:rPr>
        <w:t>DTb</w:t>
      </w:r>
      <w:proofErr w:type="spellEnd"/>
      <w:r w:rsidRPr="23EBEC0A">
        <w:rPr>
          <w:rFonts w:ascii="Verdana" w:eastAsia="Verdana" w:hAnsi="Verdana" w:cs="Verdana"/>
          <w:color w:val="444444"/>
          <w:sz w:val="20"/>
          <w:szCs w:val="20"/>
        </w:rPr>
        <w:t xml:space="preserve"> has co-chairs, then these two should be members. If not, ideally the Vice-Chair will also be a member to ensure continuity.</w:t>
      </w:r>
    </w:p>
    <w:p w14:paraId="644C0CBE" w14:textId="72976279" w:rsidR="002B1F32" w:rsidRPr="001114D9" w:rsidRDefault="002B1F32" w:rsidP="23EBEC0A">
      <w:pPr>
        <w:spacing w:line="252" w:lineRule="auto"/>
        <w:rPr>
          <w:rFonts w:ascii="Verdana" w:eastAsia="Verdana" w:hAnsi="Verdana" w:cs="Verdana"/>
          <w:color w:val="444444"/>
          <w:sz w:val="20"/>
          <w:szCs w:val="20"/>
        </w:rPr>
      </w:pPr>
      <w:r w:rsidRPr="23EBEC0A">
        <w:rPr>
          <w:rFonts w:ascii="Verdana" w:eastAsia="Verdana" w:hAnsi="Verdana" w:cs="Verdana"/>
          <w:color w:val="444444"/>
          <w:sz w:val="20"/>
          <w:szCs w:val="20"/>
        </w:rPr>
        <w:lastRenderedPageBreak/>
        <w:t xml:space="preserve">There always needs to be at least one person with a finance brief/background in an oversight role. </w:t>
      </w:r>
    </w:p>
    <w:p w14:paraId="77BC9A1D" w14:textId="68EDA9A6" w:rsidR="002B1F32" w:rsidRPr="001114D9" w:rsidRDefault="002B1F32" w:rsidP="23EBEC0A">
      <w:pPr>
        <w:spacing w:line="252" w:lineRule="auto"/>
        <w:rPr>
          <w:rFonts w:ascii="Verdana" w:eastAsia="Verdana" w:hAnsi="Verdana" w:cs="Verdana"/>
          <w:color w:val="444444"/>
          <w:sz w:val="20"/>
          <w:szCs w:val="20"/>
        </w:rPr>
      </w:pPr>
      <w:r w:rsidRPr="23EBEC0A">
        <w:rPr>
          <w:rFonts w:ascii="Verdana" w:eastAsia="Verdana" w:hAnsi="Verdana" w:cs="Verdana"/>
          <w:color w:val="444444"/>
          <w:sz w:val="20"/>
          <w:szCs w:val="20"/>
        </w:rPr>
        <w:t>The</w:t>
      </w:r>
      <w:r w:rsidR="001114D9" w:rsidRPr="23EBEC0A">
        <w:rPr>
          <w:rFonts w:ascii="Verdana" w:eastAsia="Verdana" w:hAnsi="Verdana" w:cs="Verdana"/>
          <w:color w:val="444444"/>
          <w:sz w:val="20"/>
          <w:szCs w:val="20"/>
        </w:rPr>
        <w:t xml:space="preserve"> Oversight group should </w:t>
      </w:r>
      <w:r w:rsidR="00577189" w:rsidRPr="23EBEC0A">
        <w:rPr>
          <w:rFonts w:ascii="Verdana" w:eastAsia="Verdana" w:hAnsi="Verdana" w:cs="Verdana"/>
          <w:color w:val="444444"/>
          <w:sz w:val="20"/>
          <w:szCs w:val="20"/>
        </w:rPr>
        <w:t>support</w:t>
      </w:r>
      <w:r w:rsidR="001114D9" w:rsidRPr="23EBEC0A">
        <w:rPr>
          <w:rFonts w:ascii="Verdana" w:eastAsia="Verdana" w:hAnsi="Verdana" w:cs="Verdana"/>
          <w:color w:val="444444"/>
          <w:sz w:val="20"/>
          <w:szCs w:val="20"/>
        </w:rPr>
        <w:t xml:space="preserve"> </w:t>
      </w:r>
      <w:r w:rsidRPr="23EBEC0A">
        <w:rPr>
          <w:rFonts w:ascii="Verdana" w:eastAsia="Verdana" w:hAnsi="Verdana" w:cs="Verdana"/>
          <w:color w:val="444444"/>
          <w:sz w:val="20"/>
          <w:szCs w:val="20"/>
        </w:rPr>
        <w:t xml:space="preserve">D&amp;I </w:t>
      </w:r>
      <w:r w:rsidR="00577189" w:rsidRPr="23EBEC0A">
        <w:rPr>
          <w:rFonts w:ascii="Verdana" w:eastAsia="Verdana" w:hAnsi="Verdana" w:cs="Verdana"/>
          <w:color w:val="444444"/>
          <w:sz w:val="20"/>
          <w:szCs w:val="20"/>
        </w:rPr>
        <w:t>Community group</w:t>
      </w:r>
      <w:r w:rsidRPr="23EBEC0A">
        <w:rPr>
          <w:rFonts w:ascii="Verdana" w:eastAsia="Verdana" w:hAnsi="Verdana" w:cs="Verdana"/>
          <w:color w:val="444444"/>
          <w:sz w:val="20"/>
          <w:szCs w:val="20"/>
        </w:rPr>
        <w:t>.</w:t>
      </w:r>
    </w:p>
    <w:p w14:paraId="4482B012" w14:textId="06706FE8" w:rsidR="001114D9" w:rsidRDefault="001114D9" w:rsidP="23EBEC0A">
      <w:p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0B774B39">
        <w:rPr>
          <w:rFonts w:ascii="Verdana" w:eastAsia="Verdana" w:hAnsi="Verdana" w:cs="Verdana"/>
          <w:color w:val="444444"/>
          <w:sz w:val="20"/>
          <w:szCs w:val="20"/>
          <w:lang w:eastAsia="en-GB"/>
        </w:rPr>
        <w:t>The C</w:t>
      </w:r>
      <w:r w:rsidR="00202E75" w:rsidRPr="0B774B39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hair </w:t>
      </w:r>
      <w:r w:rsidRPr="0B774B39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of the group will be the </w:t>
      </w:r>
      <w:proofErr w:type="spellStart"/>
      <w:r w:rsidRPr="0B774B39">
        <w:rPr>
          <w:rFonts w:ascii="Verdana" w:eastAsia="Verdana" w:hAnsi="Verdana" w:cs="Verdana"/>
          <w:color w:val="444444"/>
          <w:sz w:val="20"/>
          <w:szCs w:val="20"/>
          <w:lang w:eastAsia="en-GB"/>
        </w:rPr>
        <w:t>DTb</w:t>
      </w:r>
      <w:proofErr w:type="spellEnd"/>
      <w:r w:rsidRPr="0B774B39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Chair (unless there are Co-Chairs in which case one will be chosen by the other </w:t>
      </w:r>
      <w:proofErr w:type="spellStart"/>
      <w:r w:rsidR="47DC3FA7" w:rsidRPr="0B774B39">
        <w:rPr>
          <w:rFonts w:ascii="Verdana" w:eastAsia="Verdana" w:hAnsi="Verdana" w:cs="Verdana"/>
          <w:color w:val="444444"/>
          <w:sz w:val="20"/>
          <w:szCs w:val="20"/>
          <w:lang w:eastAsia="en-GB"/>
        </w:rPr>
        <w:t>DTb</w:t>
      </w:r>
      <w:proofErr w:type="spellEnd"/>
      <w:r w:rsidR="47DC3FA7" w:rsidRPr="0B774B39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</w:t>
      </w:r>
      <w:r w:rsidRPr="0B774B39">
        <w:rPr>
          <w:rFonts w:ascii="Verdana" w:eastAsia="Verdana" w:hAnsi="Verdana" w:cs="Verdana"/>
          <w:color w:val="444444"/>
          <w:sz w:val="20"/>
          <w:szCs w:val="20"/>
          <w:lang w:eastAsia="en-GB"/>
        </w:rPr>
        <w:t>members of the group</w:t>
      </w:r>
      <w:r w:rsidR="00B47E31" w:rsidRPr="0B774B39">
        <w:rPr>
          <w:rFonts w:ascii="Verdana" w:eastAsia="Verdana" w:hAnsi="Verdana" w:cs="Verdana"/>
          <w:color w:val="444444"/>
          <w:sz w:val="20"/>
          <w:szCs w:val="20"/>
          <w:lang w:eastAsia="en-GB"/>
        </w:rPr>
        <w:t>)</w:t>
      </w:r>
      <w:r w:rsidRPr="0B774B39">
        <w:rPr>
          <w:rFonts w:ascii="Verdana" w:eastAsia="Verdana" w:hAnsi="Verdana" w:cs="Verdana"/>
          <w:color w:val="444444"/>
          <w:sz w:val="20"/>
          <w:szCs w:val="20"/>
          <w:lang w:eastAsia="en-GB"/>
        </w:rPr>
        <w:t>.</w:t>
      </w:r>
    </w:p>
    <w:p w14:paraId="7B204B19" w14:textId="1EE6A2CE" w:rsidR="00202E75" w:rsidRPr="001114D9" w:rsidRDefault="001114D9" w:rsidP="23EBEC0A">
      <w:p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0B774B39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The remaining </w:t>
      </w:r>
      <w:proofErr w:type="spellStart"/>
      <w:r w:rsidR="72B9D253" w:rsidRPr="0B774B39">
        <w:rPr>
          <w:rFonts w:ascii="Verdana" w:eastAsia="Verdana" w:hAnsi="Verdana" w:cs="Verdana"/>
          <w:color w:val="444444"/>
          <w:sz w:val="20"/>
          <w:szCs w:val="20"/>
          <w:lang w:eastAsia="en-GB"/>
        </w:rPr>
        <w:t>DTb</w:t>
      </w:r>
      <w:proofErr w:type="spellEnd"/>
      <w:r w:rsidR="72B9D253" w:rsidRPr="0B774B39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</w:t>
      </w:r>
      <w:r w:rsidRPr="0B774B39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members of the group will be </w:t>
      </w:r>
      <w:r w:rsidR="00202E75" w:rsidRPr="0B774B39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appointed </w:t>
      </w:r>
      <w:r w:rsidRPr="0B774B39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by the </w:t>
      </w:r>
      <w:proofErr w:type="spellStart"/>
      <w:r w:rsidRPr="0B774B39">
        <w:rPr>
          <w:rFonts w:ascii="Verdana" w:eastAsia="Verdana" w:hAnsi="Verdana" w:cs="Verdana"/>
          <w:color w:val="444444"/>
          <w:sz w:val="20"/>
          <w:szCs w:val="20"/>
          <w:lang w:eastAsia="en-GB"/>
        </w:rPr>
        <w:t>DTb</w:t>
      </w:r>
      <w:proofErr w:type="spellEnd"/>
      <w:r w:rsidRPr="0B774B39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based on their interest in the group and also their skills </w:t>
      </w:r>
      <w:proofErr w:type="gramStart"/>
      <w:r w:rsidRPr="0B774B39">
        <w:rPr>
          <w:rFonts w:ascii="Verdana" w:eastAsia="Verdana" w:hAnsi="Verdana" w:cs="Verdana"/>
          <w:color w:val="444444"/>
          <w:sz w:val="20"/>
          <w:szCs w:val="20"/>
          <w:lang w:eastAsia="en-GB"/>
        </w:rPr>
        <w:t>sets</w:t>
      </w:r>
      <w:proofErr w:type="gramEnd"/>
      <w:r w:rsidRPr="0B774B39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(noting the need for finance and governance expertise and experience).</w:t>
      </w:r>
    </w:p>
    <w:p w14:paraId="3539C5FF" w14:textId="140953E6" w:rsidR="3CF5E3DB" w:rsidRDefault="3CF5E3DB" w:rsidP="0B774B39">
      <w:pPr>
        <w:spacing w:beforeAutospacing="1" w:afterAutospacing="1" w:line="240" w:lineRule="auto"/>
        <w:jc w:val="both"/>
        <w:rPr>
          <w:rFonts w:ascii="Verdana" w:eastAsia="Verdana" w:hAnsi="Verdana" w:cs="Verdana"/>
          <w:color w:val="444444"/>
          <w:sz w:val="20"/>
          <w:szCs w:val="20"/>
        </w:rPr>
      </w:pPr>
      <w:r w:rsidRPr="0B774B39">
        <w:rPr>
          <w:rStyle w:val="eop"/>
          <w:rFonts w:ascii="Verdana" w:eastAsia="Verdana" w:hAnsi="Verdana" w:cs="Verdana"/>
          <w:color w:val="444444"/>
          <w:sz w:val="20"/>
          <w:szCs w:val="20"/>
        </w:rPr>
        <w:t xml:space="preserve">The group may propose additional members, from outside the </w:t>
      </w:r>
      <w:proofErr w:type="spellStart"/>
      <w:r w:rsidRPr="0B774B39">
        <w:rPr>
          <w:rStyle w:val="eop"/>
          <w:rFonts w:ascii="Verdana" w:eastAsia="Verdana" w:hAnsi="Verdana" w:cs="Verdana"/>
          <w:color w:val="444444"/>
          <w:sz w:val="20"/>
          <w:szCs w:val="20"/>
        </w:rPr>
        <w:t>DTb</w:t>
      </w:r>
      <w:proofErr w:type="spellEnd"/>
      <w:r w:rsidRPr="0B774B39">
        <w:rPr>
          <w:rStyle w:val="eop"/>
          <w:rFonts w:ascii="Verdana" w:eastAsia="Verdana" w:hAnsi="Verdana" w:cs="Verdana"/>
          <w:color w:val="444444"/>
          <w:sz w:val="20"/>
          <w:szCs w:val="20"/>
        </w:rPr>
        <w:t xml:space="preserve"> but within the wider membership, to add skills, </w:t>
      </w:r>
      <w:proofErr w:type="gramStart"/>
      <w:r w:rsidRPr="0B774B39">
        <w:rPr>
          <w:rStyle w:val="eop"/>
          <w:rFonts w:ascii="Verdana" w:eastAsia="Verdana" w:hAnsi="Verdana" w:cs="Verdana"/>
          <w:color w:val="444444"/>
          <w:sz w:val="20"/>
          <w:szCs w:val="20"/>
        </w:rPr>
        <w:t>experience</w:t>
      </w:r>
      <w:proofErr w:type="gramEnd"/>
      <w:r w:rsidRPr="0B774B39">
        <w:rPr>
          <w:rStyle w:val="eop"/>
          <w:rFonts w:ascii="Verdana" w:eastAsia="Verdana" w:hAnsi="Verdana" w:cs="Verdana"/>
          <w:color w:val="444444"/>
          <w:sz w:val="20"/>
          <w:szCs w:val="20"/>
        </w:rPr>
        <w:t xml:space="preserve"> and diversity and to improve inclusion across our communities. Additional members can be proposed by the group following an open recruitment </w:t>
      </w:r>
      <w:proofErr w:type="gramStart"/>
      <w:r w:rsidRPr="0B774B39">
        <w:rPr>
          <w:rStyle w:val="eop"/>
          <w:rFonts w:ascii="Verdana" w:eastAsia="Verdana" w:hAnsi="Verdana" w:cs="Verdana"/>
          <w:color w:val="444444"/>
          <w:sz w:val="20"/>
          <w:szCs w:val="20"/>
        </w:rPr>
        <w:t>process, and</w:t>
      </w:r>
      <w:proofErr w:type="gramEnd"/>
      <w:r w:rsidRPr="0B774B39">
        <w:rPr>
          <w:rStyle w:val="eop"/>
          <w:rFonts w:ascii="Verdana" w:eastAsia="Verdana" w:hAnsi="Verdana" w:cs="Verdana"/>
          <w:color w:val="444444"/>
          <w:sz w:val="20"/>
          <w:szCs w:val="20"/>
        </w:rPr>
        <w:t xml:space="preserve"> put to the wider </w:t>
      </w:r>
      <w:proofErr w:type="spellStart"/>
      <w:r w:rsidRPr="0B774B39">
        <w:rPr>
          <w:rStyle w:val="eop"/>
          <w:rFonts w:ascii="Verdana" w:eastAsia="Verdana" w:hAnsi="Verdana" w:cs="Verdana"/>
          <w:color w:val="444444"/>
          <w:sz w:val="20"/>
          <w:szCs w:val="20"/>
        </w:rPr>
        <w:t>DTb</w:t>
      </w:r>
      <w:proofErr w:type="spellEnd"/>
      <w:r w:rsidRPr="0B774B39">
        <w:rPr>
          <w:rStyle w:val="eop"/>
          <w:rFonts w:ascii="Verdana" w:eastAsia="Verdana" w:hAnsi="Verdana" w:cs="Verdana"/>
          <w:color w:val="444444"/>
          <w:sz w:val="20"/>
          <w:szCs w:val="20"/>
        </w:rPr>
        <w:t xml:space="preserve"> for confirmation.</w:t>
      </w:r>
    </w:p>
    <w:p w14:paraId="20EE07A7" w14:textId="77777777" w:rsidR="00202E75" w:rsidRPr="00202E75" w:rsidRDefault="00202E75" w:rsidP="23EBEC0A">
      <w:pPr>
        <w:shd w:val="clear" w:color="auto" w:fill="FFFFFF" w:themeFill="background1"/>
        <w:spacing w:before="300" w:after="240" w:line="240" w:lineRule="auto"/>
        <w:textAlignment w:val="baseline"/>
        <w:outlineLvl w:val="2"/>
        <w:rPr>
          <w:rFonts w:ascii="Verdana" w:eastAsia="Verdana" w:hAnsi="Verdana" w:cs="Verdana"/>
          <w:color w:val="005580"/>
          <w:sz w:val="20"/>
          <w:szCs w:val="20"/>
          <w:lang w:eastAsia="en-GB"/>
        </w:rPr>
      </w:pPr>
      <w:r w:rsidRPr="23EBEC0A">
        <w:rPr>
          <w:rFonts w:ascii="Verdana" w:eastAsia="Verdana" w:hAnsi="Verdana" w:cs="Verdana"/>
          <w:color w:val="005580"/>
          <w:sz w:val="20"/>
          <w:szCs w:val="20"/>
          <w:lang w:eastAsia="en-GB"/>
        </w:rPr>
        <w:t>Meeting arrangements</w:t>
      </w:r>
    </w:p>
    <w:p w14:paraId="2D48DA6F" w14:textId="2030A33F" w:rsidR="008E176F" w:rsidRDefault="008E176F" w:rsidP="23EBEC0A">
      <w:pPr>
        <w:shd w:val="clear" w:color="auto" w:fill="FFFFFF" w:themeFill="background1"/>
        <w:spacing w:after="150" w:line="324" w:lineRule="atLeast"/>
        <w:jc w:val="both"/>
        <w:textAlignment w:val="baseline"/>
        <w:rPr>
          <w:rFonts w:ascii="Verdana" w:eastAsia="Verdana" w:hAnsi="Verdana" w:cs="Verdana"/>
          <w:sz w:val="20"/>
          <w:szCs w:val="20"/>
        </w:rPr>
      </w:pPr>
      <w:r w:rsidRPr="23EBEC0A">
        <w:rPr>
          <w:rFonts w:ascii="Verdana" w:eastAsia="Verdana" w:hAnsi="Verdana" w:cs="Verdana"/>
          <w:sz w:val="20"/>
          <w:szCs w:val="20"/>
        </w:rPr>
        <w:t xml:space="preserve">It was agreed that there should be a monthly report to the </w:t>
      </w:r>
      <w:proofErr w:type="spellStart"/>
      <w:r w:rsidRPr="23EBEC0A">
        <w:rPr>
          <w:rFonts w:ascii="Verdana" w:eastAsia="Verdana" w:hAnsi="Verdana" w:cs="Verdana"/>
          <w:sz w:val="20"/>
          <w:szCs w:val="20"/>
        </w:rPr>
        <w:t>DTb</w:t>
      </w:r>
      <w:proofErr w:type="spellEnd"/>
      <w:r w:rsidRPr="23EBEC0A">
        <w:rPr>
          <w:rFonts w:ascii="Verdana" w:eastAsia="Verdana" w:hAnsi="Verdana" w:cs="Verdana"/>
          <w:sz w:val="20"/>
          <w:szCs w:val="20"/>
        </w:rPr>
        <w:t xml:space="preserve"> from the</w:t>
      </w:r>
      <w:r w:rsidR="009A6D46" w:rsidRPr="23EBEC0A">
        <w:rPr>
          <w:rFonts w:ascii="Verdana" w:eastAsia="Verdana" w:hAnsi="Verdana" w:cs="Verdana"/>
          <w:sz w:val="20"/>
          <w:szCs w:val="20"/>
        </w:rPr>
        <w:t xml:space="preserve"> Oversight</w:t>
      </w:r>
      <w:r w:rsidRPr="23EBEC0A">
        <w:rPr>
          <w:rFonts w:ascii="Verdana" w:eastAsia="Verdana" w:hAnsi="Verdana" w:cs="Verdana"/>
          <w:sz w:val="20"/>
          <w:szCs w:val="20"/>
        </w:rPr>
        <w:t xml:space="preserve"> Chair. There should be a standing agenda but flexibility on workstreams month by month and who needs to attend each meeting. Meetings could be monthly or more/less frequent depending on circumstances. </w:t>
      </w:r>
    </w:p>
    <w:p w14:paraId="66A85806" w14:textId="04F35E4A" w:rsidR="00202E75" w:rsidRPr="00202E75" w:rsidRDefault="001114D9" w:rsidP="23EBEC0A">
      <w:p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The meeting will be </w:t>
      </w:r>
      <w:r w:rsidR="00BF6EAD"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managed by the Chair to last no more than two hours. A quorum will be 2/3 members. Agendas will be created as standing items. Minutes to be prepared and circulated within five days of the meeting. Any communications between meetings must be </w:t>
      </w:r>
      <w:proofErr w:type="spellStart"/>
      <w:r w:rsidR="00BF6EAD"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minuted</w:t>
      </w:r>
      <w:proofErr w:type="spellEnd"/>
      <w:r w:rsidR="00BF6EAD"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for decision at the next meeting. </w:t>
      </w:r>
    </w:p>
    <w:p w14:paraId="6345CD85" w14:textId="77777777" w:rsidR="00202E75" w:rsidRPr="00202E75" w:rsidRDefault="00202E75" w:rsidP="23EBEC0A">
      <w:pPr>
        <w:shd w:val="clear" w:color="auto" w:fill="FFFFFF" w:themeFill="background1"/>
        <w:spacing w:before="300" w:after="240" w:line="240" w:lineRule="auto"/>
        <w:textAlignment w:val="baseline"/>
        <w:outlineLvl w:val="2"/>
        <w:rPr>
          <w:rFonts w:ascii="Verdana" w:eastAsia="Verdana" w:hAnsi="Verdana" w:cs="Verdana"/>
          <w:color w:val="005580"/>
          <w:sz w:val="20"/>
          <w:szCs w:val="20"/>
          <w:lang w:eastAsia="en-GB"/>
        </w:rPr>
      </w:pPr>
      <w:r w:rsidRPr="23EBEC0A">
        <w:rPr>
          <w:rFonts w:ascii="Verdana" w:eastAsia="Verdana" w:hAnsi="Verdana" w:cs="Verdana"/>
          <w:color w:val="005580"/>
          <w:sz w:val="20"/>
          <w:szCs w:val="20"/>
          <w:lang w:eastAsia="en-GB"/>
        </w:rPr>
        <w:t>Reporting</w:t>
      </w:r>
    </w:p>
    <w:p w14:paraId="07EA6460" w14:textId="5B9527B4" w:rsidR="00202E75" w:rsidRPr="00202E75" w:rsidRDefault="00BF6EAD" w:rsidP="23EBEC0A">
      <w:p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The Oversight group </w:t>
      </w:r>
      <w:r w:rsidR="00202E75"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will report to</w:t>
      </w:r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the main </w:t>
      </w:r>
      <w:proofErr w:type="spellStart"/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DTb</w:t>
      </w:r>
      <w:proofErr w:type="spellEnd"/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each month during the main Board meetings. This report will consist of the minutes from the last Oversight meeting, together with any papers requiring </w:t>
      </w:r>
      <w:proofErr w:type="spellStart"/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DTb</w:t>
      </w:r>
      <w:proofErr w:type="spellEnd"/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decisions.</w:t>
      </w:r>
    </w:p>
    <w:p w14:paraId="4619706B" w14:textId="77777777" w:rsidR="00202E75" w:rsidRPr="00202E75" w:rsidRDefault="00202E75" w:rsidP="23EBEC0A">
      <w:pPr>
        <w:shd w:val="clear" w:color="auto" w:fill="FFFFFF" w:themeFill="background1"/>
        <w:spacing w:before="300" w:after="240" w:line="240" w:lineRule="auto"/>
        <w:textAlignment w:val="baseline"/>
        <w:outlineLvl w:val="2"/>
        <w:rPr>
          <w:rFonts w:ascii="Verdana" w:eastAsia="Verdana" w:hAnsi="Verdana" w:cs="Verdana"/>
          <w:color w:val="005580"/>
          <w:sz w:val="20"/>
          <w:szCs w:val="20"/>
          <w:lang w:eastAsia="en-GB"/>
        </w:rPr>
      </w:pPr>
      <w:r w:rsidRPr="23EBEC0A">
        <w:rPr>
          <w:rFonts w:ascii="Verdana" w:eastAsia="Verdana" w:hAnsi="Verdana" w:cs="Verdana"/>
          <w:color w:val="005580"/>
          <w:sz w:val="20"/>
          <w:szCs w:val="20"/>
          <w:lang w:eastAsia="en-GB"/>
        </w:rPr>
        <w:t>Resources and budget</w:t>
      </w:r>
    </w:p>
    <w:p w14:paraId="58FAA5E4" w14:textId="3E38FF8F" w:rsidR="00202E75" w:rsidRPr="00202E75" w:rsidRDefault="00BF6EAD" w:rsidP="23EBEC0A">
      <w:p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No budget is allocated to the Oversight group. It is assumed that all members of the group will do so in a voluntary capacity and will not seek any reward for their input.</w:t>
      </w:r>
    </w:p>
    <w:p w14:paraId="22BB00AF" w14:textId="77777777" w:rsidR="00202E75" w:rsidRPr="00202E75" w:rsidRDefault="00202E75" w:rsidP="23EBEC0A">
      <w:pPr>
        <w:shd w:val="clear" w:color="auto" w:fill="FFFFFF" w:themeFill="background1"/>
        <w:spacing w:before="300" w:after="240" w:line="240" w:lineRule="auto"/>
        <w:textAlignment w:val="baseline"/>
        <w:outlineLvl w:val="2"/>
        <w:rPr>
          <w:rFonts w:ascii="Verdana" w:eastAsia="Verdana" w:hAnsi="Verdana" w:cs="Verdana"/>
          <w:color w:val="005580"/>
          <w:sz w:val="20"/>
          <w:szCs w:val="20"/>
          <w:lang w:eastAsia="en-GB"/>
        </w:rPr>
      </w:pPr>
      <w:r w:rsidRPr="23EBEC0A">
        <w:rPr>
          <w:rFonts w:ascii="Verdana" w:eastAsia="Verdana" w:hAnsi="Verdana" w:cs="Verdana"/>
          <w:color w:val="005580"/>
          <w:sz w:val="20"/>
          <w:szCs w:val="20"/>
          <w:lang w:eastAsia="en-GB"/>
        </w:rPr>
        <w:t>Deliverables</w:t>
      </w:r>
    </w:p>
    <w:p w14:paraId="3825371E" w14:textId="77777777" w:rsidR="00AE2E42" w:rsidRDefault="00BF6EAD" w:rsidP="23EBEC0A">
      <w:p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Annual </w:t>
      </w:r>
    </w:p>
    <w:p w14:paraId="7B15FFC7" w14:textId="6A4A9326" w:rsidR="00202E75" w:rsidRDefault="00AE2E42" w:rsidP="23EBEC0A">
      <w:pPr>
        <w:pStyle w:val="ListParagraph"/>
        <w:numPr>
          <w:ilvl w:val="0"/>
          <w:numId w:val="4"/>
        </w:num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any recommendations for new PLC directors</w:t>
      </w:r>
    </w:p>
    <w:p w14:paraId="49FC1449" w14:textId="66E5B586" w:rsidR="00AE2E42" w:rsidRDefault="00AE2E42" w:rsidP="23EBEC0A">
      <w:pPr>
        <w:pStyle w:val="ListParagraph"/>
        <w:numPr>
          <w:ilvl w:val="0"/>
          <w:numId w:val="4"/>
        </w:num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review of Club annual financial budget</w:t>
      </w:r>
    </w:p>
    <w:p w14:paraId="1571D2BD" w14:textId="6F0AD817" w:rsidR="00AE2E42" w:rsidRDefault="00AE2E42" w:rsidP="23EBEC0A">
      <w:pPr>
        <w:pStyle w:val="ListParagraph"/>
        <w:numPr>
          <w:ilvl w:val="0"/>
          <w:numId w:val="4"/>
        </w:num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review of DT finances and spending decisions, membership prices etc</w:t>
      </w:r>
    </w:p>
    <w:p w14:paraId="37B607AC" w14:textId="6BB89F9A" w:rsidR="00D32540" w:rsidRPr="00D32540" w:rsidRDefault="00D32540" w:rsidP="23EBEC0A">
      <w:pPr>
        <w:pStyle w:val="ListParagraph"/>
        <w:numPr>
          <w:ilvl w:val="0"/>
          <w:numId w:val="4"/>
        </w:num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color w:val="444444"/>
          <w:sz w:val="20"/>
          <w:szCs w:val="20"/>
        </w:rPr>
      </w:pPr>
      <w:r w:rsidRPr="23EBEC0A">
        <w:rPr>
          <w:rFonts w:ascii="Verdana" w:eastAsia="Verdana" w:hAnsi="Verdana" w:cs="Verdana"/>
          <w:color w:val="444444"/>
          <w:sz w:val="20"/>
          <w:szCs w:val="20"/>
        </w:rPr>
        <w:t xml:space="preserve">review of the Dons Trust and Club financial reporting process and the integrity of </w:t>
      </w:r>
      <w:proofErr w:type="gramStart"/>
      <w:r w:rsidRPr="23EBEC0A">
        <w:rPr>
          <w:rFonts w:ascii="Verdana" w:eastAsia="Verdana" w:hAnsi="Verdana" w:cs="Verdana"/>
          <w:color w:val="444444"/>
          <w:sz w:val="20"/>
          <w:szCs w:val="20"/>
        </w:rPr>
        <w:t>the both</w:t>
      </w:r>
      <w:proofErr w:type="gramEnd"/>
      <w:r w:rsidRPr="23EBEC0A">
        <w:rPr>
          <w:rFonts w:ascii="Verdana" w:eastAsia="Verdana" w:hAnsi="Verdana" w:cs="Verdana"/>
          <w:color w:val="444444"/>
          <w:sz w:val="20"/>
          <w:szCs w:val="20"/>
        </w:rPr>
        <w:t xml:space="preserve"> organisations’ financial and narrative statements</w:t>
      </w:r>
    </w:p>
    <w:p w14:paraId="5D512AA6" w14:textId="6151DA6A" w:rsidR="00D32540" w:rsidRPr="00D32540" w:rsidRDefault="00D32540" w:rsidP="23EBEC0A">
      <w:pPr>
        <w:pStyle w:val="ListParagraph"/>
        <w:numPr>
          <w:ilvl w:val="0"/>
          <w:numId w:val="4"/>
        </w:num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color w:val="444444"/>
          <w:sz w:val="20"/>
          <w:szCs w:val="20"/>
        </w:rPr>
      </w:pPr>
      <w:r w:rsidRPr="23EBEC0A">
        <w:rPr>
          <w:rFonts w:ascii="Verdana" w:eastAsia="Verdana" w:hAnsi="Verdana" w:cs="Verdana"/>
          <w:color w:val="444444"/>
          <w:sz w:val="20"/>
          <w:szCs w:val="20"/>
        </w:rPr>
        <w:lastRenderedPageBreak/>
        <w:t>review of the Dons Trust and Club’s internal control and risk management systems and internal audit process</w:t>
      </w:r>
    </w:p>
    <w:p w14:paraId="0DDE01FE" w14:textId="669AB438" w:rsidR="00D32540" w:rsidRPr="00D32540" w:rsidRDefault="00DC3836" w:rsidP="23EBEC0A">
      <w:pPr>
        <w:pStyle w:val="ListParagraph"/>
        <w:numPr>
          <w:ilvl w:val="0"/>
          <w:numId w:val="4"/>
        </w:num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color w:val="444444"/>
          <w:sz w:val="20"/>
          <w:szCs w:val="20"/>
        </w:rPr>
      </w:pPr>
      <w:r w:rsidRPr="23EBEC0A">
        <w:rPr>
          <w:rFonts w:ascii="Verdana" w:eastAsia="Verdana" w:hAnsi="Verdana" w:cs="Verdana"/>
          <w:color w:val="444444"/>
          <w:sz w:val="20"/>
          <w:szCs w:val="20"/>
        </w:rPr>
        <w:t xml:space="preserve">review </w:t>
      </w:r>
      <w:r w:rsidR="00D32540" w:rsidRPr="23EBEC0A">
        <w:rPr>
          <w:rFonts w:ascii="Verdana" w:eastAsia="Verdana" w:hAnsi="Verdana" w:cs="Verdana"/>
          <w:color w:val="444444"/>
          <w:sz w:val="20"/>
          <w:szCs w:val="20"/>
        </w:rPr>
        <w:t>and monitoring the audit of the Dons Trust and Club’s financial statements and the independence of the external auditors</w:t>
      </w:r>
      <w:r w:rsidRPr="23EBEC0A">
        <w:rPr>
          <w:rFonts w:ascii="Verdana" w:eastAsia="Verdana" w:hAnsi="Verdana" w:cs="Verdana"/>
          <w:color w:val="444444"/>
          <w:sz w:val="20"/>
          <w:szCs w:val="20"/>
        </w:rPr>
        <w:t xml:space="preserve"> (with a tender process every 3-5 years]</w:t>
      </w:r>
      <w:r w:rsidR="00D32540" w:rsidRPr="23EBEC0A">
        <w:rPr>
          <w:rFonts w:ascii="Verdana" w:eastAsia="Verdana" w:hAnsi="Verdana" w:cs="Verdana"/>
          <w:color w:val="444444"/>
          <w:sz w:val="20"/>
          <w:szCs w:val="20"/>
        </w:rPr>
        <w:t>.</w:t>
      </w:r>
    </w:p>
    <w:p w14:paraId="18FF1F07" w14:textId="77777777" w:rsidR="00D32540" w:rsidRPr="00D32540" w:rsidRDefault="00D32540" w:rsidP="23EBEC0A">
      <w:pPr>
        <w:pStyle w:val="ListParagraph"/>
        <w:numPr>
          <w:ilvl w:val="0"/>
          <w:numId w:val="4"/>
        </w:num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Ensuring relevant Diversity and Inclusion requirements for the Dons Trust [and the Club] are met.</w:t>
      </w:r>
    </w:p>
    <w:p w14:paraId="0E10DB34" w14:textId="77777777" w:rsidR="00D32540" w:rsidRDefault="00D32540" w:rsidP="23EBEC0A">
      <w:pPr>
        <w:pStyle w:val="ListParagraph"/>
        <w:numPr>
          <w:ilvl w:val="0"/>
          <w:numId w:val="4"/>
        </w:num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</w:p>
    <w:p w14:paraId="1111098B" w14:textId="1B0458DC" w:rsidR="00AE2E42" w:rsidRDefault="00AE2E42" w:rsidP="23EBEC0A">
      <w:p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Ad hoc</w:t>
      </w:r>
    </w:p>
    <w:p w14:paraId="10D1AD5E" w14:textId="25DB3DFC" w:rsidR="00AE2E42" w:rsidRPr="00AE2E42" w:rsidRDefault="00AE2E42" w:rsidP="23EBEC0A">
      <w:pPr>
        <w:pStyle w:val="ListParagraph"/>
        <w:numPr>
          <w:ilvl w:val="0"/>
          <w:numId w:val="4"/>
        </w:num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review of DT Constitution and ensuring it remains relevant and up to date, as well as compliant with changes in legislation and best practice</w:t>
      </w:r>
    </w:p>
    <w:p w14:paraId="16027D11" w14:textId="77777777" w:rsidR="00202E75" w:rsidRPr="00202E75" w:rsidRDefault="00202E75" w:rsidP="23EBEC0A">
      <w:pPr>
        <w:shd w:val="clear" w:color="auto" w:fill="FFFFFF" w:themeFill="background1"/>
        <w:spacing w:before="300" w:after="240" w:line="240" w:lineRule="auto"/>
        <w:textAlignment w:val="baseline"/>
        <w:outlineLvl w:val="2"/>
        <w:rPr>
          <w:rFonts w:ascii="Verdana" w:eastAsia="Verdana" w:hAnsi="Verdana" w:cs="Verdana"/>
          <w:color w:val="005580"/>
          <w:sz w:val="20"/>
          <w:szCs w:val="20"/>
          <w:lang w:eastAsia="en-GB"/>
        </w:rPr>
      </w:pPr>
      <w:r w:rsidRPr="23EBEC0A">
        <w:rPr>
          <w:rFonts w:ascii="Verdana" w:eastAsia="Verdana" w:hAnsi="Verdana" w:cs="Verdana"/>
          <w:color w:val="005580"/>
          <w:sz w:val="20"/>
          <w:szCs w:val="20"/>
          <w:lang w:eastAsia="en-GB"/>
        </w:rPr>
        <w:t>Review</w:t>
      </w:r>
    </w:p>
    <w:p w14:paraId="34F37413" w14:textId="7F9C7BD7" w:rsidR="00AE2E42" w:rsidRDefault="00AE2E42" w:rsidP="23EBEC0A">
      <w:p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These </w:t>
      </w:r>
      <w:proofErr w:type="spellStart"/>
      <w:r w:rsidR="00364A6B"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To</w:t>
      </w:r>
      <w:r w:rsidR="00632D6D"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R</w:t>
      </w:r>
      <w:proofErr w:type="spellEnd"/>
      <w:r w:rsidR="00364A6B"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w</w:t>
      </w:r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ere a</w:t>
      </w:r>
      <w:r w:rsidR="00364A6B"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greed by the</w:t>
      </w:r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</w:t>
      </w:r>
      <w:proofErr w:type="spellStart"/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DTb</w:t>
      </w:r>
      <w:proofErr w:type="spellEnd"/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Oversight group on ----------------------------------------------------</w:t>
      </w:r>
    </w:p>
    <w:p w14:paraId="2936B2A0" w14:textId="6835E799" w:rsidR="00AE2E42" w:rsidRDefault="00364A6B" w:rsidP="23EBEC0A">
      <w:p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</w:t>
      </w:r>
      <w:r w:rsidR="00AE2E42"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a</w:t>
      </w:r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nd then approved by the </w:t>
      </w:r>
      <w:r w:rsidR="00AE2E42"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DT </w:t>
      </w:r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board</w:t>
      </w:r>
      <w:r w:rsidR="00AE2E42"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on ------------------------------------------------------------------------</w:t>
      </w:r>
    </w:p>
    <w:p w14:paraId="7884ADBE" w14:textId="25BA75BA" w:rsidR="00202E75" w:rsidRDefault="00AE2E42" w:rsidP="23EBEC0A">
      <w:pPr>
        <w:shd w:val="clear" w:color="auto" w:fill="FFFFFF" w:themeFill="background1"/>
        <w:spacing w:after="150" w:line="324" w:lineRule="atLeast"/>
        <w:textAlignment w:val="baseline"/>
        <w:rPr>
          <w:rFonts w:ascii="Verdana" w:eastAsia="Verdana" w:hAnsi="Verdana" w:cs="Verdana"/>
          <w:color w:val="444444"/>
          <w:sz w:val="20"/>
          <w:szCs w:val="20"/>
          <w:lang w:eastAsia="en-GB"/>
        </w:rPr>
      </w:pPr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The</w:t>
      </w:r>
      <w:r w:rsidR="00202E75"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</w:t>
      </w:r>
      <w:proofErr w:type="spellStart"/>
      <w:r w:rsidR="00202E75"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ToR</w:t>
      </w:r>
      <w:proofErr w:type="spellEnd"/>
      <w:r w:rsidR="00202E75"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</w:t>
      </w:r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will be </w:t>
      </w:r>
      <w:r w:rsidR="00202E75"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review</w:t>
      </w:r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ed annually</w:t>
      </w:r>
      <w:r w:rsidR="005A3BFD"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. The </w:t>
      </w:r>
      <w:r w:rsidR="00202E75"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next review date</w:t>
      </w:r>
      <w:r w:rsidR="005A3BFD"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will be [1 </w:t>
      </w:r>
      <w:r w:rsidR="0023490A"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October</w:t>
      </w:r>
      <w:r w:rsidR="005A3BFD"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2023].</w:t>
      </w:r>
    </w:p>
    <w:p w14:paraId="58F69845" w14:textId="77777777" w:rsidR="001E6B77" w:rsidRDefault="001E6B77" w:rsidP="23EBEC0A">
      <w:pPr>
        <w:shd w:val="clear" w:color="auto" w:fill="FFFFFF" w:themeFill="background1"/>
        <w:spacing w:line="324" w:lineRule="atLeast"/>
        <w:jc w:val="both"/>
        <w:textAlignment w:val="baseline"/>
        <w:rPr>
          <w:rFonts w:ascii="Verdana" w:eastAsia="Verdana" w:hAnsi="Verdana" w:cs="Verdana"/>
          <w:sz w:val="20"/>
          <w:szCs w:val="20"/>
        </w:rPr>
      </w:pPr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Terms of Reference are not forever! Requirements or other circumstances can change over </w:t>
      </w:r>
      <w:proofErr w:type="gramStart"/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time</w:t>
      </w:r>
      <w:proofErr w:type="gramEnd"/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and it will be necessary to periodically review the </w:t>
      </w:r>
      <w:proofErr w:type="spellStart"/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ToR</w:t>
      </w:r>
      <w:proofErr w:type="spellEnd"/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of your </w:t>
      </w:r>
      <w:proofErr w:type="spellStart"/>
      <w:r w:rsidRPr="23EBEC0A">
        <w:rPr>
          <w:rFonts w:ascii="Verdana" w:eastAsia="Verdana" w:hAnsi="Verdana" w:cs="Verdana"/>
          <w:i/>
          <w:iCs/>
          <w:color w:val="444444"/>
          <w:sz w:val="20"/>
          <w:szCs w:val="20"/>
          <w:lang w:eastAsia="en-GB"/>
        </w:rPr>
        <w:t>DTb</w:t>
      </w:r>
      <w:proofErr w:type="spellEnd"/>
      <w:r w:rsidRPr="23EBEC0A">
        <w:rPr>
          <w:rFonts w:ascii="Verdana" w:eastAsia="Verdana" w:hAnsi="Verdana" w:cs="Verdana"/>
          <w:i/>
          <w:iCs/>
          <w:color w:val="444444"/>
          <w:sz w:val="20"/>
          <w:szCs w:val="20"/>
          <w:lang w:eastAsia="en-GB"/>
        </w:rPr>
        <w:t xml:space="preserve"> theme group</w:t>
      </w:r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. </w:t>
      </w:r>
      <w:r>
        <w:br/>
      </w:r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It's best practice to schedule a </w:t>
      </w:r>
      <w:proofErr w:type="spellStart"/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ToR</w:t>
      </w:r>
      <w:proofErr w:type="spellEnd"/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review at least once a year to make sure you are still on track! (</w:t>
      </w:r>
      <w:proofErr w:type="gramStart"/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>E.g.</w:t>
      </w:r>
      <w:proofErr w:type="gramEnd"/>
      <w:r w:rsidRPr="23EBEC0A">
        <w:rPr>
          <w:rFonts w:ascii="Verdana" w:eastAsia="Verdana" w:hAnsi="Verdana" w:cs="Verdana"/>
          <w:color w:val="444444"/>
          <w:sz w:val="20"/>
          <w:szCs w:val="20"/>
          <w:lang w:eastAsia="en-GB"/>
        </w:rPr>
        <w:t xml:space="preserve"> make a habit to add this to the agenda of the first meeting of each year)</w:t>
      </w:r>
      <w:r w:rsidRPr="23EBEC0A">
        <w:rPr>
          <w:rFonts w:ascii="Verdana" w:eastAsia="Verdana" w:hAnsi="Verdana" w:cs="Verdana"/>
          <w:sz w:val="20"/>
          <w:szCs w:val="20"/>
        </w:rPr>
        <w:t xml:space="preserve"> </w:t>
      </w:r>
    </w:p>
    <w:p w14:paraId="710E9EFF" w14:textId="77777777" w:rsidR="001E6B77" w:rsidRPr="00202E75" w:rsidRDefault="001E6B77" w:rsidP="00202E75">
      <w:pPr>
        <w:shd w:val="clear" w:color="auto" w:fill="FFFFFF"/>
        <w:spacing w:after="150" w:line="324" w:lineRule="atLeast"/>
        <w:textAlignment w:val="baseline"/>
        <w:rPr>
          <w:rFonts w:ascii="inherit" w:eastAsia="Times New Roman" w:hAnsi="inherit" w:cs="Helvetica"/>
          <w:color w:val="444444"/>
          <w:lang w:eastAsia="en-GB"/>
        </w:rPr>
      </w:pPr>
    </w:p>
    <w:sectPr w:rsidR="001E6B77" w:rsidRPr="00202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73C"/>
    <w:multiLevelType w:val="hybridMultilevel"/>
    <w:tmpl w:val="D90C35EA"/>
    <w:lvl w:ilvl="0" w:tplc="F9AE46A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94C22"/>
    <w:multiLevelType w:val="hybridMultilevel"/>
    <w:tmpl w:val="421EF7C6"/>
    <w:lvl w:ilvl="0" w:tplc="370E7B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552A2"/>
    <w:multiLevelType w:val="hybridMultilevel"/>
    <w:tmpl w:val="23666198"/>
    <w:lvl w:ilvl="0" w:tplc="05A4DCA4">
      <w:numFmt w:val="bullet"/>
      <w:lvlText w:val="-"/>
      <w:lvlJc w:val="left"/>
      <w:pPr>
        <w:ind w:left="720" w:hanging="360"/>
      </w:pPr>
      <w:rPr>
        <w:rFonts w:ascii="inherit" w:eastAsia="Times New Roman" w:hAnsi="inherit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660892">
    <w:abstractNumId w:val="1"/>
  </w:num>
  <w:num w:numId="2" w16cid:durableId="1910001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4190825">
    <w:abstractNumId w:val="0"/>
  </w:num>
  <w:num w:numId="4" w16cid:durableId="907570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75"/>
    <w:rsid w:val="00014D20"/>
    <w:rsid w:val="0002119F"/>
    <w:rsid w:val="00091198"/>
    <w:rsid w:val="001114D9"/>
    <w:rsid w:val="00134C6B"/>
    <w:rsid w:val="001E6B77"/>
    <w:rsid w:val="001F5820"/>
    <w:rsid w:val="00202E75"/>
    <w:rsid w:val="0023490A"/>
    <w:rsid w:val="002456EE"/>
    <w:rsid w:val="00256269"/>
    <w:rsid w:val="0029035F"/>
    <w:rsid w:val="00293471"/>
    <w:rsid w:val="00296EB2"/>
    <w:rsid w:val="002B1F32"/>
    <w:rsid w:val="002C24D0"/>
    <w:rsid w:val="00364A6B"/>
    <w:rsid w:val="00380833"/>
    <w:rsid w:val="00413136"/>
    <w:rsid w:val="00472BEB"/>
    <w:rsid w:val="004853D6"/>
    <w:rsid w:val="00485C09"/>
    <w:rsid w:val="004C29C3"/>
    <w:rsid w:val="004D58CB"/>
    <w:rsid w:val="00524BBF"/>
    <w:rsid w:val="00547F85"/>
    <w:rsid w:val="00577189"/>
    <w:rsid w:val="005A3BFD"/>
    <w:rsid w:val="005B7131"/>
    <w:rsid w:val="005E6554"/>
    <w:rsid w:val="005F1FF5"/>
    <w:rsid w:val="00632D6D"/>
    <w:rsid w:val="00670C0C"/>
    <w:rsid w:val="00692256"/>
    <w:rsid w:val="006E1841"/>
    <w:rsid w:val="007246BB"/>
    <w:rsid w:val="00756AB8"/>
    <w:rsid w:val="007B163E"/>
    <w:rsid w:val="007D08C8"/>
    <w:rsid w:val="008A6611"/>
    <w:rsid w:val="008E176F"/>
    <w:rsid w:val="00931C62"/>
    <w:rsid w:val="009A6D46"/>
    <w:rsid w:val="00A65A6B"/>
    <w:rsid w:val="00AC25C8"/>
    <w:rsid w:val="00AC7827"/>
    <w:rsid w:val="00AE2E42"/>
    <w:rsid w:val="00B40EB6"/>
    <w:rsid w:val="00B47E31"/>
    <w:rsid w:val="00BF6EAD"/>
    <w:rsid w:val="00C403D6"/>
    <w:rsid w:val="00C41064"/>
    <w:rsid w:val="00C4128A"/>
    <w:rsid w:val="00C5173B"/>
    <w:rsid w:val="00CD1BAF"/>
    <w:rsid w:val="00CF68A9"/>
    <w:rsid w:val="00D07789"/>
    <w:rsid w:val="00D10002"/>
    <w:rsid w:val="00D32540"/>
    <w:rsid w:val="00D55B6A"/>
    <w:rsid w:val="00D92297"/>
    <w:rsid w:val="00DC3836"/>
    <w:rsid w:val="00E87F80"/>
    <w:rsid w:val="00EA214B"/>
    <w:rsid w:val="00EE08AA"/>
    <w:rsid w:val="00EF7F46"/>
    <w:rsid w:val="00F05C9D"/>
    <w:rsid w:val="00F15C6D"/>
    <w:rsid w:val="00F275D4"/>
    <w:rsid w:val="00F47E5F"/>
    <w:rsid w:val="00F50180"/>
    <w:rsid w:val="00F616D2"/>
    <w:rsid w:val="00F97772"/>
    <w:rsid w:val="00FA3C59"/>
    <w:rsid w:val="00FB07EF"/>
    <w:rsid w:val="00FC0B86"/>
    <w:rsid w:val="0B774B39"/>
    <w:rsid w:val="23EBEC0A"/>
    <w:rsid w:val="3CF5E3DB"/>
    <w:rsid w:val="47DC3FA7"/>
    <w:rsid w:val="72B9D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F8AAF"/>
  <w15:chartTrackingRefBased/>
  <w15:docId w15:val="{8ADBDE73-7488-477F-B878-F247E93B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2E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02E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202E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2E7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02E7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02E7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02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itleh4">
    <w:name w:val="titleh4"/>
    <w:basedOn w:val="DefaultParagraphFont"/>
    <w:rsid w:val="00202E75"/>
  </w:style>
  <w:style w:type="paragraph" w:styleId="ListParagraph">
    <w:name w:val="List Paragraph"/>
    <w:basedOn w:val="Normal"/>
    <w:uiPriority w:val="34"/>
    <w:qFormat/>
    <w:rsid w:val="00FA3C59"/>
    <w:pPr>
      <w:ind w:left="720"/>
      <w:contextualSpacing/>
    </w:pPr>
  </w:style>
  <w:style w:type="character" w:customStyle="1" w:styleId="eop">
    <w:name w:val="eop"/>
    <w:basedOn w:val="DefaultParagraphFont"/>
    <w:uiPriority w:val="1"/>
    <w:rsid w:val="0B774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53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7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2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9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0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8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8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59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8d16d43-fe3e-484d-86e1-d8867c6fbb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69E93646F074EBDA095470E8F6FC3" ma:contentTypeVersion="14" ma:contentTypeDescription="Create a new document." ma:contentTypeScope="" ma:versionID="959aa49bf4ec503e041901c3dcd69ab5">
  <xsd:schema xmlns:xsd="http://www.w3.org/2001/XMLSchema" xmlns:xs="http://www.w3.org/2001/XMLSchema" xmlns:p="http://schemas.microsoft.com/office/2006/metadata/properties" xmlns:ns2="f8d16d43-fe3e-484d-86e1-d8867c6fbb1f" xmlns:ns3="877a5105-7d7f-428d-87b6-01a3b30e2bdf" targetNamespace="http://schemas.microsoft.com/office/2006/metadata/properties" ma:root="true" ma:fieldsID="d187d36bebe4da016cb105a66324076d" ns2:_="" ns3:_="">
    <xsd:import namespace="f8d16d43-fe3e-484d-86e1-d8867c6fbb1f"/>
    <xsd:import namespace="877a5105-7d7f-428d-87b6-01a3b30e2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16d43-fe3e-484d-86e1-d8867c6f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a5105-7d7f-428d-87b6-01a3b30e2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FD70E6-4C0E-4725-94FD-C40D558BD684}">
  <ds:schemaRefs>
    <ds:schemaRef ds:uri="http://schemas.microsoft.com/office/2006/metadata/properties"/>
    <ds:schemaRef ds:uri="http://schemas.microsoft.com/office/infopath/2007/PartnerControls"/>
    <ds:schemaRef ds:uri="f8d16d43-fe3e-484d-86e1-d8867c6fbb1f"/>
  </ds:schemaRefs>
</ds:datastoreItem>
</file>

<file path=customXml/itemProps2.xml><?xml version="1.0" encoding="utf-8"?>
<ds:datastoreItem xmlns:ds="http://schemas.openxmlformats.org/officeDocument/2006/customXml" ds:itemID="{DDEF9D29-80BF-43F9-A908-2FAB87537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299C7-8036-4CDA-AA2F-CA201D84D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16d43-fe3e-484d-86e1-d8867c6fbb1f"/>
    <ds:schemaRef ds:uri="877a5105-7d7f-428d-87b6-01a3b30e2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David Hall</cp:lastModifiedBy>
  <cp:revision>2</cp:revision>
  <dcterms:created xsi:type="dcterms:W3CDTF">2022-10-03T13:42:00Z</dcterms:created>
  <dcterms:modified xsi:type="dcterms:W3CDTF">2022-10-03T13:42:00Z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0x010100FD069E93646F074EBDA095470E8F6FC3</vt:lpwstr>
  </property>
</Properties>
</file>